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4039" w14:textId="77777777" w:rsidR="00517CE3" w:rsidRPr="00730B9B" w:rsidRDefault="00517CE3" w:rsidP="004660F6">
      <w:pPr>
        <w:jc w:val="both"/>
      </w:pPr>
    </w:p>
    <w:p w14:paraId="0499B557" w14:textId="5E3C8D84" w:rsidR="003459CC" w:rsidRPr="00730B9B" w:rsidRDefault="00450C61" w:rsidP="0056318F">
      <w:pPr>
        <w:ind w:firstLine="708"/>
        <w:jc w:val="both"/>
      </w:pPr>
      <w:r w:rsidRPr="00730B9B">
        <w:t xml:space="preserve">ISTRUTTORIA DEI DOCUMENTI </w:t>
      </w:r>
      <w:r w:rsidR="00B67EB8" w:rsidRPr="00730B9B">
        <w:t xml:space="preserve">RELATIVI ALLA </w:t>
      </w:r>
      <w:r w:rsidR="00224EFD" w:rsidRPr="00730B9B">
        <w:t xml:space="preserve">PROCEDURA </w:t>
      </w:r>
      <w:r w:rsidRPr="00730B9B">
        <w:t xml:space="preserve">DI CONSULTAZIONE </w:t>
      </w:r>
      <w:r w:rsidR="00224EFD" w:rsidRPr="00730B9B">
        <w:t xml:space="preserve">SCRITTA </w:t>
      </w:r>
      <w:r w:rsidR="003459CC" w:rsidRPr="00730B9B">
        <w:t xml:space="preserve">SUL </w:t>
      </w:r>
      <w:r w:rsidR="00AB787E" w:rsidRPr="00730B9B">
        <w:rPr>
          <w:i/>
          <w:iCs/>
        </w:rPr>
        <w:t>PIANO SVILUPPO E COESIONE (PSC) 2000-2020</w:t>
      </w:r>
      <w:r w:rsidR="005C78A8" w:rsidRPr="00730B9B">
        <w:rPr>
          <w:i/>
          <w:iCs/>
        </w:rPr>
        <w:t xml:space="preserve"> </w:t>
      </w:r>
      <w:r w:rsidR="00491EEF" w:rsidRPr="00730B9B">
        <w:rPr>
          <w:i/>
          <w:iCs/>
        </w:rPr>
        <w:t>–</w:t>
      </w:r>
      <w:r w:rsidR="003459CC" w:rsidRPr="00730B9B">
        <w:rPr>
          <w:i/>
          <w:iCs/>
        </w:rPr>
        <w:t xml:space="preserve"> </w:t>
      </w:r>
      <w:r w:rsidR="00491EEF" w:rsidRPr="00730B9B">
        <w:rPr>
          <w:i/>
          <w:iCs/>
        </w:rPr>
        <w:t>MINISTERO DELLE INFRASTRUTTURE E DEI TRASPORTI</w:t>
      </w:r>
      <w:r w:rsidR="005C78A8" w:rsidRPr="00730B9B">
        <w:rPr>
          <w:i/>
          <w:iCs/>
        </w:rPr>
        <w:t xml:space="preserve"> </w:t>
      </w:r>
    </w:p>
    <w:p w14:paraId="4EBAFC2A" w14:textId="540DEE93" w:rsidR="00450A02" w:rsidRPr="00730B9B" w:rsidRDefault="000A6CF2" w:rsidP="007F6A16">
      <w:pPr>
        <w:ind w:firstLine="708"/>
        <w:jc w:val="both"/>
        <w:rPr>
          <w:i/>
          <w:iCs/>
        </w:rPr>
      </w:pPr>
      <w:r w:rsidRPr="00730B9B">
        <w:rPr>
          <w:i/>
          <w:iCs/>
        </w:rPr>
        <w:t>Analizzando il documento si riportano le seguenti considerazioni:</w:t>
      </w:r>
    </w:p>
    <w:p w14:paraId="62B72BB8" w14:textId="64285B51" w:rsidR="00F97F0A" w:rsidRPr="00730B9B" w:rsidRDefault="00483E8D" w:rsidP="00513D55">
      <w:pPr>
        <w:pStyle w:val="Paragrafoelenco"/>
        <w:numPr>
          <w:ilvl w:val="0"/>
          <w:numId w:val="7"/>
        </w:numPr>
        <w:jc w:val="both"/>
        <w:rPr>
          <w:i/>
          <w:iCs/>
        </w:rPr>
      </w:pPr>
      <w:r w:rsidRPr="00730B9B">
        <w:rPr>
          <w:i/>
          <w:iCs/>
        </w:rPr>
        <w:t>A pag.7 della RAA con riferimento al</w:t>
      </w:r>
      <w:r w:rsidR="00450A02" w:rsidRPr="00730B9B">
        <w:rPr>
          <w:i/>
          <w:iCs/>
        </w:rPr>
        <w:t xml:space="preserve">le </w:t>
      </w:r>
      <w:r w:rsidRPr="00730B9B">
        <w:rPr>
          <w:i/>
          <w:iCs/>
        </w:rPr>
        <w:t>PREVISIONI DI SPESA PER CIASCUNA ANNUALITA’ DEL PRIMO TRIENNIO si prende atto che i totali riportati nelle tabelle n.5 e n.6 in corrispondenza della colonna “</w:t>
      </w:r>
      <w:r w:rsidRPr="00730B9B">
        <w:rPr>
          <w:b/>
          <w:bCs/>
          <w:i/>
          <w:iCs/>
        </w:rPr>
        <w:t>Spesa complessiva cumulata realizzata alla fine dell’anno t</w:t>
      </w:r>
      <w:r w:rsidRPr="00730B9B">
        <w:rPr>
          <w:i/>
          <w:iCs/>
        </w:rPr>
        <w:t>” pari rispettivamente a 1.582,73 milioni di euro per il Mezzogiorno e a 893,09 milioni di euro per il Centro-Nord sono riferibili a quanto monitorato nel sistema informativo locale SMU</w:t>
      </w:r>
      <w:r w:rsidR="00F97F0A" w:rsidRPr="00730B9B">
        <w:rPr>
          <w:i/>
          <w:iCs/>
        </w:rPr>
        <w:t>.</w:t>
      </w:r>
    </w:p>
    <w:p w14:paraId="5B7B6E71" w14:textId="729877E5" w:rsidR="000635F6" w:rsidRPr="00730B9B" w:rsidRDefault="00F97F0A" w:rsidP="000635F6">
      <w:pPr>
        <w:pStyle w:val="Paragrafoelenco"/>
        <w:ind w:left="1068"/>
        <w:jc w:val="both"/>
        <w:rPr>
          <w:i/>
          <w:iCs/>
        </w:rPr>
      </w:pPr>
      <w:r w:rsidRPr="00730B9B">
        <w:rPr>
          <w:i/>
          <w:iCs/>
        </w:rPr>
        <w:t>S</w:t>
      </w:r>
      <w:r w:rsidR="00CE46C2" w:rsidRPr="00730B9B">
        <w:rPr>
          <w:i/>
          <w:iCs/>
        </w:rPr>
        <w:t xml:space="preserve">i </w:t>
      </w:r>
      <w:r w:rsidR="00556952" w:rsidRPr="00730B9B">
        <w:rPr>
          <w:i/>
          <w:iCs/>
        </w:rPr>
        <w:t>segnala</w:t>
      </w:r>
      <w:r w:rsidRPr="00730B9B">
        <w:rPr>
          <w:i/>
          <w:iCs/>
        </w:rPr>
        <w:t xml:space="preserve"> tuttavia,</w:t>
      </w:r>
      <w:r w:rsidR="00CE46C2" w:rsidRPr="00730B9B">
        <w:rPr>
          <w:i/>
          <w:iCs/>
        </w:rPr>
        <w:t xml:space="preserve"> che ai sensi dell’art.1, comma 703, lettera l) della legge n.190/2014</w:t>
      </w:r>
      <w:r w:rsidR="008A44C2" w:rsidRPr="00730B9B">
        <w:rPr>
          <w:i/>
          <w:iCs/>
        </w:rPr>
        <w:t>, ai fini della verifica dello stato di avanzamento della spesa riguardante gli interventi finanziati con le risorse FSC, le amministrazioni titolari degli interventi sono tenute a comunicare i relativi dati al Sistema di Monitoraggio Unitario del Ministero dell’economia e delle finanze di cui all’art.1 comma 245 legge n.147/2013</w:t>
      </w:r>
      <w:r w:rsidR="00556952" w:rsidRPr="00730B9B">
        <w:rPr>
          <w:i/>
          <w:iCs/>
        </w:rPr>
        <w:t xml:space="preserve"> (BDU 14-20). Considerando i valori validati e quindi ufficiali all’interno della BDU 14-20 alla data del 31.12.2023 si precisa che </w:t>
      </w:r>
      <w:r w:rsidR="00DF4A4B" w:rsidRPr="00730B9B">
        <w:rPr>
          <w:i/>
          <w:iCs/>
        </w:rPr>
        <w:t>i pagamenti ammessi</w:t>
      </w:r>
      <w:r w:rsidR="00556952" w:rsidRPr="00730B9B">
        <w:rPr>
          <w:i/>
          <w:iCs/>
        </w:rPr>
        <w:t xml:space="preserve"> per il Mezzogiorno risulta</w:t>
      </w:r>
      <w:r w:rsidR="00DF4A4B" w:rsidRPr="00730B9B">
        <w:rPr>
          <w:i/>
          <w:iCs/>
        </w:rPr>
        <w:t>no</w:t>
      </w:r>
      <w:r w:rsidR="00556952" w:rsidRPr="00730B9B">
        <w:rPr>
          <w:i/>
          <w:iCs/>
        </w:rPr>
        <w:t xml:space="preserve"> pari a 1.184,64 milioni di euro per il Mezzogiorno e pari a 734,62 milioni di euro per il Centro-Nord.</w:t>
      </w:r>
      <w:r w:rsidR="0009548B" w:rsidRPr="00730B9B">
        <w:rPr>
          <w:i/>
          <w:iCs/>
        </w:rPr>
        <w:t xml:space="preserve"> </w:t>
      </w:r>
    </w:p>
    <w:p w14:paraId="575872BD" w14:textId="75457F69" w:rsidR="000635F6" w:rsidRPr="00730B9B" w:rsidRDefault="000635F6" w:rsidP="00F97F0A">
      <w:pPr>
        <w:pStyle w:val="Paragrafoelenco"/>
        <w:ind w:left="1068"/>
        <w:jc w:val="both"/>
        <w:rPr>
          <w:i/>
          <w:iCs/>
        </w:rPr>
      </w:pPr>
    </w:p>
    <w:p w14:paraId="58F46C80" w14:textId="5ED49130" w:rsidR="00556952" w:rsidRPr="00730B9B" w:rsidRDefault="000635F6" w:rsidP="00513D55">
      <w:pPr>
        <w:pStyle w:val="Paragrafoelenco"/>
        <w:numPr>
          <w:ilvl w:val="0"/>
          <w:numId w:val="7"/>
        </w:numPr>
        <w:jc w:val="both"/>
        <w:rPr>
          <w:b/>
          <w:bCs/>
          <w:i/>
          <w:iCs/>
          <w:u w:val="single"/>
        </w:rPr>
      </w:pPr>
      <w:r w:rsidRPr="00730B9B">
        <w:rPr>
          <w:i/>
          <w:iCs/>
        </w:rPr>
        <w:t xml:space="preserve">A pag.7 </w:t>
      </w:r>
      <w:r w:rsidR="00A31075" w:rsidRPr="00730B9B">
        <w:rPr>
          <w:i/>
          <w:iCs/>
        </w:rPr>
        <w:t xml:space="preserve">sempre </w:t>
      </w:r>
      <w:r w:rsidRPr="00730B9B">
        <w:rPr>
          <w:i/>
          <w:iCs/>
        </w:rPr>
        <w:t>con riferimento alle tabelle n.5 e n.6 gli importi presenti nella riga “</w:t>
      </w:r>
      <w:r w:rsidRPr="00730B9B">
        <w:rPr>
          <w:b/>
          <w:bCs/>
          <w:i/>
          <w:iCs/>
        </w:rPr>
        <w:t>Totale complessivo PSC”</w:t>
      </w:r>
      <w:r w:rsidRPr="00730B9B">
        <w:rPr>
          <w:i/>
          <w:iCs/>
        </w:rPr>
        <w:t xml:space="preserve"> non corrispondono con quelli presenti nella prima riga relativa ai totali della Sezione Ordinaria. </w:t>
      </w:r>
      <w:r w:rsidRPr="00730B9B">
        <w:rPr>
          <w:b/>
          <w:bCs/>
          <w:i/>
          <w:iCs/>
        </w:rPr>
        <w:t>Si richiede chiarimento</w:t>
      </w:r>
      <w:r w:rsidR="00106375" w:rsidRPr="00730B9B">
        <w:rPr>
          <w:b/>
          <w:bCs/>
          <w:i/>
          <w:iCs/>
        </w:rPr>
        <w:t>.</w:t>
      </w:r>
    </w:p>
    <w:p w14:paraId="214C09B9" w14:textId="77777777" w:rsidR="00F6230C" w:rsidRPr="00730B9B" w:rsidRDefault="00F6230C" w:rsidP="00F6230C">
      <w:pPr>
        <w:pStyle w:val="Paragrafoelenco"/>
        <w:ind w:left="1068"/>
        <w:jc w:val="both"/>
        <w:rPr>
          <w:i/>
          <w:iCs/>
        </w:rPr>
      </w:pPr>
    </w:p>
    <w:p w14:paraId="786EAF9D" w14:textId="51FF7B6A" w:rsidR="000347E3" w:rsidRPr="00730B9B" w:rsidRDefault="00F6230C" w:rsidP="000347E3">
      <w:pPr>
        <w:pStyle w:val="Paragrafoelenco"/>
        <w:numPr>
          <w:ilvl w:val="0"/>
          <w:numId w:val="7"/>
        </w:numPr>
        <w:jc w:val="both"/>
        <w:rPr>
          <w:b/>
          <w:bCs/>
          <w:i/>
          <w:iCs/>
        </w:rPr>
      </w:pPr>
      <w:r w:rsidRPr="00730B9B">
        <w:rPr>
          <w:i/>
          <w:iCs/>
        </w:rPr>
        <w:t>A pag.8 con riferimento allo STATO DI ATTUAZIONE DEL PSC al 31.12.2023 si segnalano delle discordanze tra quanto riportato nelle tabelle n.7 e n.8 e quanto risulta</w:t>
      </w:r>
      <w:r w:rsidR="000347E3" w:rsidRPr="00730B9B">
        <w:rPr>
          <w:i/>
          <w:iCs/>
        </w:rPr>
        <w:t xml:space="preserve"> </w:t>
      </w:r>
      <w:r w:rsidRPr="00730B9B">
        <w:rPr>
          <w:i/>
          <w:iCs/>
        </w:rPr>
        <w:t xml:space="preserve">dai dati di monitoraggio presenti all’interno della BDU 14-20. Nello specifico, per quanto concerne </w:t>
      </w:r>
      <w:r w:rsidR="00A21E32" w:rsidRPr="00730B9B">
        <w:rPr>
          <w:i/>
          <w:iCs/>
        </w:rPr>
        <w:t xml:space="preserve">l’area del </w:t>
      </w:r>
      <w:r w:rsidR="00A21E32" w:rsidRPr="00730B9B">
        <w:rPr>
          <w:b/>
          <w:bCs/>
          <w:i/>
          <w:iCs/>
        </w:rPr>
        <w:t>Mezzogiorno</w:t>
      </w:r>
      <w:r w:rsidR="000347E3" w:rsidRPr="00730B9B">
        <w:rPr>
          <w:b/>
          <w:bCs/>
          <w:i/>
          <w:iCs/>
        </w:rPr>
        <w:t xml:space="preserve"> </w:t>
      </w:r>
      <w:r w:rsidR="00633C22" w:rsidRPr="00730B9B">
        <w:rPr>
          <w:i/>
          <w:iCs/>
        </w:rPr>
        <w:t>in BDU</w:t>
      </w:r>
      <w:r w:rsidR="00A21E32" w:rsidRPr="00730B9B">
        <w:rPr>
          <w:i/>
          <w:iCs/>
        </w:rPr>
        <w:t xml:space="preserve"> il costo ammesso risulta pari a € 12.984.558.496,49 (€ 12.979.783.103,44 riportato in </w:t>
      </w:r>
      <w:r w:rsidR="00633C22" w:rsidRPr="00730B9B">
        <w:rPr>
          <w:i/>
          <w:iCs/>
        </w:rPr>
        <w:t>tabella 7</w:t>
      </w:r>
      <w:r w:rsidR="00A21E32" w:rsidRPr="00730B9B">
        <w:rPr>
          <w:i/>
          <w:iCs/>
        </w:rPr>
        <w:t xml:space="preserve">), gli impegni ammessi pari a € 5.589.722.742,88 (€ 6.201.779.987,78 riportato in </w:t>
      </w:r>
      <w:r w:rsidR="00633C22" w:rsidRPr="00730B9B">
        <w:rPr>
          <w:i/>
          <w:iCs/>
        </w:rPr>
        <w:t>tabella 7</w:t>
      </w:r>
      <w:r w:rsidR="00A21E32" w:rsidRPr="00730B9B">
        <w:rPr>
          <w:i/>
          <w:iCs/>
        </w:rPr>
        <w:t xml:space="preserve">) e i pagamenti ammessi pari a € 1.184.643.451,57 (€ 1.333.016.384,63 riportato in </w:t>
      </w:r>
      <w:r w:rsidR="00633C22" w:rsidRPr="00730B9B">
        <w:rPr>
          <w:i/>
          <w:iCs/>
        </w:rPr>
        <w:t>tabella 7</w:t>
      </w:r>
      <w:r w:rsidR="00A21E32" w:rsidRPr="00730B9B">
        <w:rPr>
          <w:i/>
          <w:iCs/>
        </w:rPr>
        <w:t>)</w:t>
      </w:r>
      <w:r w:rsidR="000347E3" w:rsidRPr="00730B9B">
        <w:rPr>
          <w:i/>
          <w:iCs/>
        </w:rPr>
        <w:t xml:space="preserve">. Per quanto concerne l’area del </w:t>
      </w:r>
      <w:r w:rsidR="000347E3" w:rsidRPr="00730B9B">
        <w:rPr>
          <w:b/>
          <w:bCs/>
          <w:i/>
          <w:iCs/>
        </w:rPr>
        <w:t xml:space="preserve">Centro-Nord </w:t>
      </w:r>
      <w:r w:rsidR="00633C22" w:rsidRPr="00730B9B">
        <w:t>in BDU</w:t>
      </w:r>
      <w:r w:rsidR="006307E0" w:rsidRPr="00730B9B">
        <w:rPr>
          <w:b/>
          <w:bCs/>
          <w:i/>
          <w:iCs/>
        </w:rPr>
        <w:t xml:space="preserve"> </w:t>
      </w:r>
      <w:r w:rsidR="006307E0" w:rsidRPr="00730B9B">
        <w:t xml:space="preserve">il costo ammesso risulta pari a € 3.492.117.930,02 (€ 3.540.645.285,45 riportato in </w:t>
      </w:r>
      <w:r w:rsidR="00633C22" w:rsidRPr="00730B9B">
        <w:t>tabella 8</w:t>
      </w:r>
      <w:r w:rsidR="006307E0" w:rsidRPr="00730B9B">
        <w:t>), gli impegni ammessi pari a € 1.830</w:t>
      </w:r>
      <w:r w:rsidR="00265A7A" w:rsidRPr="00730B9B">
        <w:t xml:space="preserve">.508.104,39 (€ 2.062.557.954,60 riportato in </w:t>
      </w:r>
      <w:r w:rsidR="00633C22" w:rsidRPr="00730B9B">
        <w:t>tabell</w:t>
      </w:r>
      <w:r w:rsidR="000A0279" w:rsidRPr="00730B9B">
        <w:t xml:space="preserve">a </w:t>
      </w:r>
      <w:r w:rsidR="00633C22" w:rsidRPr="00730B9B">
        <w:t>8</w:t>
      </w:r>
      <w:r w:rsidR="00265A7A" w:rsidRPr="00730B9B">
        <w:t xml:space="preserve">) e i pagamenti ammessi pari a € 734.621.076,42 (€ 800.018.355,91 riportato in </w:t>
      </w:r>
      <w:r w:rsidR="00633C22" w:rsidRPr="00730B9B">
        <w:t>tabella 8</w:t>
      </w:r>
      <w:r w:rsidR="00265A7A" w:rsidRPr="00730B9B">
        <w:t>).</w:t>
      </w:r>
      <w:r w:rsidR="000A0279" w:rsidRPr="00730B9B">
        <w:t xml:space="preserve"> </w:t>
      </w:r>
      <w:r w:rsidR="00DD1378" w:rsidRPr="00730B9B">
        <w:rPr>
          <w:b/>
          <w:bCs/>
        </w:rPr>
        <w:t>Si richiede di chiarire tali divergenze ed eventualmente aggiornare i dati riportati</w:t>
      </w:r>
      <w:r w:rsidR="00106375" w:rsidRPr="00730B9B">
        <w:rPr>
          <w:b/>
          <w:bCs/>
        </w:rPr>
        <w:t>.</w:t>
      </w:r>
    </w:p>
    <w:p w14:paraId="5EF419BF" w14:textId="77777777" w:rsidR="00A21E32" w:rsidRPr="00730B9B" w:rsidRDefault="00A21E32" w:rsidP="00A21E32">
      <w:pPr>
        <w:pStyle w:val="Paragrafoelenco"/>
        <w:rPr>
          <w:i/>
          <w:iCs/>
        </w:rPr>
      </w:pPr>
    </w:p>
    <w:p w14:paraId="6916E4F3" w14:textId="0C2BE383" w:rsidR="00936A21" w:rsidRPr="000274F4" w:rsidRDefault="00C43511" w:rsidP="00936A21">
      <w:pPr>
        <w:pStyle w:val="Paragrafoelenco"/>
        <w:numPr>
          <w:ilvl w:val="0"/>
          <w:numId w:val="7"/>
        </w:numPr>
        <w:jc w:val="both"/>
        <w:rPr>
          <w:b/>
          <w:bCs/>
          <w:i/>
          <w:iCs/>
        </w:rPr>
      </w:pPr>
      <w:r w:rsidRPr="00730B9B">
        <w:rPr>
          <w:i/>
          <w:iCs/>
        </w:rPr>
        <w:t xml:space="preserve">A pag.14 con riferimento all’AVANZAMENTO PER AREA TEMATICA </w:t>
      </w:r>
      <w:r w:rsidR="00A5558D" w:rsidRPr="00730B9B">
        <w:rPr>
          <w:i/>
          <w:iCs/>
        </w:rPr>
        <w:t xml:space="preserve">realizzato nell’anno 2023, </w:t>
      </w:r>
      <w:r w:rsidR="00A5558D" w:rsidRPr="00730B9B">
        <w:t xml:space="preserve">risultano delle discordanze tra quanto riportato nelle tabelle n.11 e n.12 e quanto risulta in BDU 14-20 confrontando i dati di monitoraggio al 31.12.2022 con quelli presenti al 31.12.2023. Nello specifico per l’anno 2023 il costo ammesso risulta pari a - € 31.323.621,09 (€ </w:t>
      </w:r>
      <w:r w:rsidR="00E41C41" w:rsidRPr="00730B9B">
        <w:t xml:space="preserve">20.303.341,29 riportato in tabella n.11), gli impegni ammessi </w:t>
      </w:r>
      <w:r w:rsidR="005B2238" w:rsidRPr="00730B9B">
        <w:t xml:space="preserve">risultano </w:t>
      </w:r>
      <w:r w:rsidR="00E41C41" w:rsidRPr="00730B9B">
        <w:t>pari a € 2.263.413.297,5</w:t>
      </w:r>
      <w:r w:rsidR="004A0B2A" w:rsidRPr="00730B9B">
        <w:t>9</w:t>
      </w:r>
      <w:r w:rsidR="00E41C41" w:rsidRPr="00730B9B">
        <w:t xml:space="preserve"> (€ 3.104.966.809,05 riportato in tabella n.11) e i pagamenti ammessi pari a € 570.005.844,60 (783.271.325,01 riportato in tabella n.11)</w:t>
      </w:r>
      <w:r w:rsidR="005B2238" w:rsidRPr="00730B9B">
        <w:t>.</w:t>
      </w:r>
      <w:r w:rsidR="00106375" w:rsidRPr="00730B9B">
        <w:t xml:space="preserve"> </w:t>
      </w:r>
      <w:r w:rsidR="00106375" w:rsidRPr="000274F4">
        <w:rPr>
          <w:b/>
          <w:bCs/>
        </w:rPr>
        <w:t>Si richiede di chiarire tali divergenze ed eventualmente aggiornare i dati riportati.</w:t>
      </w:r>
    </w:p>
    <w:p w14:paraId="6AC234F1" w14:textId="77777777" w:rsidR="00936A21" w:rsidRPr="00730B9B" w:rsidRDefault="00936A21" w:rsidP="00936A21">
      <w:pPr>
        <w:pStyle w:val="Paragrafoelenco"/>
        <w:rPr>
          <w:i/>
          <w:iCs/>
        </w:rPr>
      </w:pPr>
    </w:p>
    <w:p w14:paraId="7AE9F4AE" w14:textId="77777777" w:rsidR="003C1DF5" w:rsidRPr="00730B9B" w:rsidRDefault="003C1DF5" w:rsidP="003C1DF5">
      <w:pPr>
        <w:pStyle w:val="Paragrafoelenco"/>
        <w:rPr>
          <w:i/>
          <w:iCs/>
        </w:rPr>
      </w:pPr>
    </w:p>
    <w:p w14:paraId="1D16488C" w14:textId="3FED0678" w:rsidR="003C1DF5" w:rsidRPr="00730B9B" w:rsidRDefault="003C1DF5" w:rsidP="00A21395">
      <w:pPr>
        <w:pStyle w:val="Paragrafoelenco"/>
        <w:numPr>
          <w:ilvl w:val="0"/>
          <w:numId w:val="7"/>
        </w:numPr>
        <w:jc w:val="both"/>
        <w:rPr>
          <w:i/>
          <w:iCs/>
        </w:rPr>
      </w:pPr>
      <w:r w:rsidRPr="00730B9B">
        <w:rPr>
          <w:i/>
          <w:iCs/>
        </w:rPr>
        <w:lastRenderedPageBreak/>
        <w:t>A pag.22 con riferimento all’ATTIVITA’ DI MONITORAGGIO si dichiara di utilizzare per l’invio dei dati del PSC MIT al Sistema Nazionale di Monitoraggio del Ministero dell’economia e delle finanze – Dipartimento della Ragioneria dello Stato, il sistema locale SMU. A questo proposito si segnala</w:t>
      </w:r>
      <w:r w:rsidR="00B43302" w:rsidRPr="00730B9B">
        <w:rPr>
          <w:i/>
          <w:iCs/>
        </w:rPr>
        <w:t xml:space="preserve"> e si precisa</w:t>
      </w:r>
      <w:r w:rsidRPr="00730B9B">
        <w:rPr>
          <w:i/>
          <w:iCs/>
        </w:rPr>
        <w:t xml:space="preserve"> che attualmente i dati trasmessi in BDU 14-20 per il PSC MIT provengono dal sistema MTRA-SFC (codice MTRA1) </w:t>
      </w:r>
      <w:r w:rsidR="00AD2202" w:rsidRPr="00730B9B">
        <w:rPr>
          <w:i/>
          <w:iCs/>
        </w:rPr>
        <w:t xml:space="preserve">e non dal sistema SMU (codice MINFR) sebbene quest’ultimo risulti </w:t>
      </w:r>
      <w:r w:rsidR="00B43302" w:rsidRPr="00730B9B">
        <w:rPr>
          <w:i/>
          <w:iCs/>
        </w:rPr>
        <w:t>regolarmente censito e associato al Programma PSC MIT nel Sistema IGRUE.</w:t>
      </w:r>
    </w:p>
    <w:p w14:paraId="388C08D3" w14:textId="77777777" w:rsidR="004D1529" w:rsidRPr="00730B9B" w:rsidRDefault="004D1529" w:rsidP="004D1529">
      <w:pPr>
        <w:pStyle w:val="Paragrafoelenco"/>
        <w:rPr>
          <w:i/>
          <w:iCs/>
        </w:rPr>
      </w:pPr>
    </w:p>
    <w:p w14:paraId="1B3C819E" w14:textId="77777777" w:rsidR="00A5558D" w:rsidRPr="00730B9B" w:rsidRDefault="00A5558D" w:rsidP="00A5558D">
      <w:pPr>
        <w:pStyle w:val="Paragrafoelenco"/>
        <w:rPr>
          <w:i/>
          <w:iCs/>
        </w:rPr>
      </w:pPr>
    </w:p>
    <w:p w14:paraId="254D22CB" w14:textId="77777777" w:rsidR="00A5558D" w:rsidRPr="00730B9B" w:rsidRDefault="00A5558D" w:rsidP="00A5558D">
      <w:pPr>
        <w:jc w:val="both"/>
        <w:rPr>
          <w:i/>
          <w:iCs/>
        </w:rPr>
      </w:pPr>
    </w:p>
    <w:p w14:paraId="1226A059" w14:textId="6CDDDE8C" w:rsidR="00A23653" w:rsidRPr="00730B9B" w:rsidRDefault="00897B3F" w:rsidP="00C43511">
      <w:pPr>
        <w:pStyle w:val="Paragrafoelenco"/>
        <w:ind w:left="1068"/>
        <w:jc w:val="both"/>
        <w:rPr>
          <w:i/>
          <w:iCs/>
        </w:rPr>
      </w:pPr>
      <w:r w:rsidRPr="00730B9B">
        <w:rPr>
          <w:i/>
          <w:iCs/>
        </w:rPr>
        <w:t>.</w:t>
      </w:r>
    </w:p>
    <w:p w14:paraId="2F2F0D4E" w14:textId="77777777" w:rsidR="00D507D0" w:rsidRPr="00730B9B" w:rsidRDefault="00D507D0" w:rsidP="00D507D0">
      <w:pPr>
        <w:jc w:val="both"/>
        <w:rPr>
          <w:i/>
          <w:iCs/>
        </w:rPr>
      </w:pPr>
    </w:p>
    <w:p w14:paraId="310B0424" w14:textId="77777777" w:rsidR="00D507D0" w:rsidRPr="00730B9B" w:rsidRDefault="00D507D0" w:rsidP="00D507D0">
      <w:pPr>
        <w:jc w:val="both"/>
        <w:rPr>
          <w:i/>
          <w:iCs/>
        </w:rPr>
      </w:pPr>
    </w:p>
    <w:p w14:paraId="2A6527F5" w14:textId="77777777" w:rsidR="007F6A16" w:rsidRPr="00730B9B" w:rsidRDefault="007F6A16" w:rsidP="00587E22">
      <w:pPr>
        <w:ind w:firstLine="708"/>
        <w:jc w:val="both"/>
      </w:pPr>
    </w:p>
    <w:sectPr w:rsidR="007F6A16" w:rsidRPr="00730B9B" w:rsidSect="005F2AC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E1019" w14:textId="77777777" w:rsidR="005F2AC2" w:rsidRDefault="005F2AC2" w:rsidP="000D47AA">
      <w:pPr>
        <w:spacing w:after="0" w:line="240" w:lineRule="auto"/>
      </w:pPr>
      <w:r>
        <w:separator/>
      </w:r>
    </w:p>
  </w:endnote>
  <w:endnote w:type="continuationSeparator" w:id="0">
    <w:p w14:paraId="02A0F26D" w14:textId="77777777" w:rsidR="005F2AC2" w:rsidRDefault="005F2AC2" w:rsidP="000D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D730B" w14:textId="77777777" w:rsidR="005F2AC2" w:rsidRDefault="005F2AC2" w:rsidP="000D47AA">
      <w:pPr>
        <w:spacing w:after="0" w:line="240" w:lineRule="auto"/>
      </w:pPr>
      <w:r>
        <w:separator/>
      </w:r>
    </w:p>
  </w:footnote>
  <w:footnote w:type="continuationSeparator" w:id="0">
    <w:p w14:paraId="29E14D2A" w14:textId="77777777" w:rsidR="005F2AC2" w:rsidRDefault="005F2AC2" w:rsidP="000D4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45AB3"/>
    <w:multiLevelType w:val="hybridMultilevel"/>
    <w:tmpl w:val="BA62B37A"/>
    <w:lvl w:ilvl="0" w:tplc="21BA560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C30E3B"/>
    <w:multiLevelType w:val="hybridMultilevel"/>
    <w:tmpl w:val="18DCF864"/>
    <w:lvl w:ilvl="0" w:tplc="B2EEDFD8">
      <w:numFmt w:val="bullet"/>
      <w:lvlText w:val="-"/>
      <w:lvlJc w:val="left"/>
      <w:pPr>
        <w:ind w:left="1068" w:hanging="360"/>
      </w:pPr>
      <w:rPr>
        <w:rFonts w:ascii="Calibri Light" w:eastAsiaTheme="minorHAnsi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19C4A33"/>
    <w:multiLevelType w:val="hybridMultilevel"/>
    <w:tmpl w:val="13167A1C"/>
    <w:lvl w:ilvl="0" w:tplc="E506CF6C">
      <w:numFmt w:val="bullet"/>
      <w:lvlText w:val="-"/>
      <w:lvlJc w:val="left"/>
      <w:pPr>
        <w:ind w:left="1068" w:hanging="360"/>
      </w:pPr>
      <w:rPr>
        <w:rFonts w:ascii="Calibri Light" w:eastAsiaTheme="minorHAnsi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D021DE6"/>
    <w:multiLevelType w:val="hybridMultilevel"/>
    <w:tmpl w:val="109A2AF0"/>
    <w:lvl w:ilvl="0" w:tplc="C364445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B75F10"/>
    <w:multiLevelType w:val="hybridMultilevel"/>
    <w:tmpl w:val="422E5AFC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7005F4E"/>
    <w:multiLevelType w:val="hybridMultilevel"/>
    <w:tmpl w:val="A80C6BD2"/>
    <w:lvl w:ilvl="0" w:tplc="66F431B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9774EB4"/>
    <w:multiLevelType w:val="hybridMultilevel"/>
    <w:tmpl w:val="AF7259E6"/>
    <w:lvl w:ilvl="0" w:tplc="EC1EF7F8">
      <w:numFmt w:val="bullet"/>
      <w:lvlText w:val="•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9847646">
    <w:abstractNumId w:val="2"/>
  </w:num>
  <w:num w:numId="2" w16cid:durableId="1535195462">
    <w:abstractNumId w:val="1"/>
  </w:num>
  <w:num w:numId="3" w16cid:durableId="2136097876">
    <w:abstractNumId w:val="0"/>
  </w:num>
  <w:num w:numId="4" w16cid:durableId="1731616145">
    <w:abstractNumId w:val="4"/>
  </w:num>
  <w:num w:numId="5" w16cid:durableId="462117409">
    <w:abstractNumId w:val="6"/>
  </w:num>
  <w:num w:numId="6" w16cid:durableId="563831375">
    <w:abstractNumId w:val="5"/>
  </w:num>
  <w:num w:numId="7" w16cid:durableId="1588346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7AD"/>
    <w:rsid w:val="00011AEE"/>
    <w:rsid w:val="00016C55"/>
    <w:rsid w:val="00016E43"/>
    <w:rsid w:val="00017639"/>
    <w:rsid w:val="0002394A"/>
    <w:rsid w:val="00027319"/>
    <w:rsid w:val="000274F4"/>
    <w:rsid w:val="000347E3"/>
    <w:rsid w:val="00041293"/>
    <w:rsid w:val="00044740"/>
    <w:rsid w:val="0005554C"/>
    <w:rsid w:val="000635F6"/>
    <w:rsid w:val="00066983"/>
    <w:rsid w:val="00067051"/>
    <w:rsid w:val="0007343F"/>
    <w:rsid w:val="00073F96"/>
    <w:rsid w:val="0007427E"/>
    <w:rsid w:val="00075FE8"/>
    <w:rsid w:val="00082664"/>
    <w:rsid w:val="000904FF"/>
    <w:rsid w:val="000923BA"/>
    <w:rsid w:val="0009548B"/>
    <w:rsid w:val="00095962"/>
    <w:rsid w:val="000A0279"/>
    <w:rsid w:val="000A6CF2"/>
    <w:rsid w:val="000B3BA7"/>
    <w:rsid w:val="000B4FAE"/>
    <w:rsid w:val="000B6C1E"/>
    <w:rsid w:val="000B70BE"/>
    <w:rsid w:val="000B73A2"/>
    <w:rsid w:val="000B784B"/>
    <w:rsid w:val="000D47AA"/>
    <w:rsid w:val="000E28E7"/>
    <w:rsid w:val="000E7374"/>
    <w:rsid w:val="000F1D24"/>
    <w:rsid w:val="000F426E"/>
    <w:rsid w:val="00101595"/>
    <w:rsid w:val="001033BF"/>
    <w:rsid w:val="00106375"/>
    <w:rsid w:val="0010774B"/>
    <w:rsid w:val="00107854"/>
    <w:rsid w:val="00107DB7"/>
    <w:rsid w:val="001128CB"/>
    <w:rsid w:val="00113D1A"/>
    <w:rsid w:val="00120F87"/>
    <w:rsid w:val="00124398"/>
    <w:rsid w:val="001269EE"/>
    <w:rsid w:val="00127F88"/>
    <w:rsid w:val="001343A5"/>
    <w:rsid w:val="0016374B"/>
    <w:rsid w:val="00164340"/>
    <w:rsid w:val="001671F6"/>
    <w:rsid w:val="001725FE"/>
    <w:rsid w:val="00181F40"/>
    <w:rsid w:val="001A20EE"/>
    <w:rsid w:val="001A78BC"/>
    <w:rsid w:val="001B140B"/>
    <w:rsid w:val="001B5B0D"/>
    <w:rsid w:val="001B5DDD"/>
    <w:rsid w:val="001C689F"/>
    <w:rsid w:val="001D2275"/>
    <w:rsid w:val="001D2E3F"/>
    <w:rsid w:val="001E0700"/>
    <w:rsid w:val="001F2DAF"/>
    <w:rsid w:val="001F7BAA"/>
    <w:rsid w:val="002054C7"/>
    <w:rsid w:val="002164DD"/>
    <w:rsid w:val="00217EF0"/>
    <w:rsid w:val="00224EFD"/>
    <w:rsid w:val="00225C9D"/>
    <w:rsid w:val="00230975"/>
    <w:rsid w:val="00232508"/>
    <w:rsid w:val="002330EA"/>
    <w:rsid w:val="00237D02"/>
    <w:rsid w:val="00243285"/>
    <w:rsid w:val="00253AAE"/>
    <w:rsid w:val="00260638"/>
    <w:rsid w:val="00262140"/>
    <w:rsid w:val="00265A7A"/>
    <w:rsid w:val="0027199B"/>
    <w:rsid w:val="002731DE"/>
    <w:rsid w:val="00275408"/>
    <w:rsid w:val="002829DD"/>
    <w:rsid w:val="00285097"/>
    <w:rsid w:val="00286614"/>
    <w:rsid w:val="00291C90"/>
    <w:rsid w:val="00292184"/>
    <w:rsid w:val="002928FC"/>
    <w:rsid w:val="002A2291"/>
    <w:rsid w:val="002A2436"/>
    <w:rsid w:val="002D456A"/>
    <w:rsid w:val="002E0D68"/>
    <w:rsid w:val="002E4231"/>
    <w:rsid w:val="002F1110"/>
    <w:rsid w:val="002F229B"/>
    <w:rsid w:val="0030045E"/>
    <w:rsid w:val="0031046A"/>
    <w:rsid w:val="003113D8"/>
    <w:rsid w:val="00321FAB"/>
    <w:rsid w:val="003239A2"/>
    <w:rsid w:val="00330263"/>
    <w:rsid w:val="00331A4D"/>
    <w:rsid w:val="00332DBA"/>
    <w:rsid w:val="00340903"/>
    <w:rsid w:val="003459CC"/>
    <w:rsid w:val="0034647F"/>
    <w:rsid w:val="00356141"/>
    <w:rsid w:val="003561C8"/>
    <w:rsid w:val="00356914"/>
    <w:rsid w:val="00370B13"/>
    <w:rsid w:val="003747C4"/>
    <w:rsid w:val="00384163"/>
    <w:rsid w:val="00386A09"/>
    <w:rsid w:val="00391104"/>
    <w:rsid w:val="00393A82"/>
    <w:rsid w:val="0039561C"/>
    <w:rsid w:val="003A765E"/>
    <w:rsid w:val="003A7B8B"/>
    <w:rsid w:val="003C1DF5"/>
    <w:rsid w:val="003C430D"/>
    <w:rsid w:val="003C7915"/>
    <w:rsid w:val="003D61D2"/>
    <w:rsid w:val="003E11CD"/>
    <w:rsid w:val="003E14FE"/>
    <w:rsid w:val="003E39AE"/>
    <w:rsid w:val="003E5AFC"/>
    <w:rsid w:val="003E6A1B"/>
    <w:rsid w:val="003F17C9"/>
    <w:rsid w:val="003F774F"/>
    <w:rsid w:val="00403499"/>
    <w:rsid w:val="00405B46"/>
    <w:rsid w:val="0041170A"/>
    <w:rsid w:val="00421712"/>
    <w:rsid w:val="00424AA7"/>
    <w:rsid w:val="004315BE"/>
    <w:rsid w:val="004376C4"/>
    <w:rsid w:val="00446AB4"/>
    <w:rsid w:val="00450A02"/>
    <w:rsid w:val="00450C61"/>
    <w:rsid w:val="0045213D"/>
    <w:rsid w:val="004544F5"/>
    <w:rsid w:val="00460BD6"/>
    <w:rsid w:val="004660F6"/>
    <w:rsid w:val="0047308E"/>
    <w:rsid w:val="00483E8D"/>
    <w:rsid w:val="0048584F"/>
    <w:rsid w:val="00491C1E"/>
    <w:rsid w:val="00491EEF"/>
    <w:rsid w:val="0049273A"/>
    <w:rsid w:val="004A0B2A"/>
    <w:rsid w:val="004A2B3A"/>
    <w:rsid w:val="004B472D"/>
    <w:rsid w:val="004B4E4C"/>
    <w:rsid w:val="004B7D24"/>
    <w:rsid w:val="004B7F34"/>
    <w:rsid w:val="004C3A98"/>
    <w:rsid w:val="004C3AA6"/>
    <w:rsid w:val="004D0353"/>
    <w:rsid w:val="004D1529"/>
    <w:rsid w:val="004E0C42"/>
    <w:rsid w:val="004E4D62"/>
    <w:rsid w:val="004E52C7"/>
    <w:rsid w:val="004F0632"/>
    <w:rsid w:val="004F3A38"/>
    <w:rsid w:val="0050002A"/>
    <w:rsid w:val="00500FB8"/>
    <w:rsid w:val="00511B8B"/>
    <w:rsid w:val="00513D55"/>
    <w:rsid w:val="00517703"/>
    <w:rsid w:val="00517CE3"/>
    <w:rsid w:val="0052595E"/>
    <w:rsid w:val="00526AF7"/>
    <w:rsid w:val="005324A2"/>
    <w:rsid w:val="005346CA"/>
    <w:rsid w:val="00540B05"/>
    <w:rsid w:val="00556952"/>
    <w:rsid w:val="00561D45"/>
    <w:rsid w:val="0056318F"/>
    <w:rsid w:val="005646FE"/>
    <w:rsid w:val="00571A2F"/>
    <w:rsid w:val="00571C0C"/>
    <w:rsid w:val="005751C9"/>
    <w:rsid w:val="005767CD"/>
    <w:rsid w:val="0058285C"/>
    <w:rsid w:val="00587BC7"/>
    <w:rsid w:val="00587E22"/>
    <w:rsid w:val="00591626"/>
    <w:rsid w:val="0059207E"/>
    <w:rsid w:val="00594361"/>
    <w:rsid w:val="0059579C"/>
    <w:rsid w:val="0059720D"/>
    <w:rsid w:val="005A08C5"/>
    <w:rsid w:val="005A1DDE"/>
    <w:rsid w:val="005A4C29"/>
    <w:rsid w:val="005B1355"/>
    <w:rsid w:val="005B2238"/>
    <w:rsid w:val="005C1E23"/>
    <w:rsid w:val="005C417B"/>
    <w:rsid w:val="005C5B1D"/>
    <w:rsid w:val="005C5DB9"/>
    <w:rsid w:val="005C6079"/>
    <w:rsid w:val="005C78A8"/>
    <w:rsid w:val="005D0948"/>
    <w:rsid w:val="005D1048"/>
    <w:rsid w:val="005E1CA3"/>
    <w:rsid w:val="005F220E"/>
    <w:rsid w:val="005F2AC2"/>
    <w:rsid w:val="005F74DB"/>
    <w:rsid w:val="00610B1F"/>
    <w:rsid w:val="006129BF"/>
    <w:rsid w:val="00621BF9"/>
    <w:rsid w:val="006243FD"/>
    <w:rsid w:val="006307E0"/>
    <w:rsid w:val="00632C3A"/>
    <w:rsid w:val="00633C22"/>
    <w:rsid w:val="00637795"/>
    <w:rsid w:val="00640D3A"/>
    <w:rsid w:val="0065406A"/>
    <w:rsid w:val="006559B2"/>
    <w:rsid w:val="006708F7"/>
    <w:rsid w:val="00681811"/>
    <w:rsid w:val="006961A3"/>
    <w:rsid w:val="006A554C"/>
    <w:rsid w:val="006B0359"/>
    <w:rsid w:val="006B1967"/>
    <w:rsid w:val="006B3A52"/>
    <w:rsid w:val="006C2FED"/>
    <w:rsid w:val="006D15DA"/>
    <w:rsid w:val="006D4494"/>
    <w:rsid w:val="006E02C3"/>
    <w:rsid w:val="006E0D38"/>
    <w:rsid w:val="006E1305"/>
    <w:rsid w:val="006F09A3"/>
    <w:rsid w:val="006F5025"/>
    <w:rsid w:val="00707B9B"/>
    <w:rsid w:val="00713DF5"/>
    <w:rsid w:val="00725B55"/>
    <w:rsid w:val="00727DAC"/>
    <w:rsid w:val="00730B9B"/>
    <w:rsid w:val="0073353E"/>
    <w:rsid w:val="00741225"/>
    <w:rsid w:val="007528A5"/>
    <w:rsid w:val="00752ABD"/>
    <w:rsid w:val="00757B89"/>
    <w:rsid w:val="0077316B"/>
    <w:rsid w:val="00774855"/>
    <w:rsid w:val="00775022"/>
    <w:rsid w:val="00777933"/>
    <w:rsid w:val="00786A17"/>
    <w:rsid w:val="007A14E4"/>
    <w:rsid w:val="007A1536"/>
    <w:rsid w:val="007A7950"/>
    <w:rsid w:val="007B105F"/>
    <w:rsid w:val="007B5107"/>
    <w:rsid w:val="007C7071"/>
    <w:rsid w:val="007D12E9"/>
    <w:rsid w:val="007E5CC9"/>
    <w:rsid w:val="007F5059"/>
    <w:rsid w:val="007F618A"/>
    <w:rsid w:val="007F6A16"/>
    <w:rsid w:val="008022EA"/>
    <w:rsid w:val="00802C39"/>
    <w:rsid w:val="008032B0"/>
    <w:rsid w:val="008059DA"/>
    <w:rsid w:val="008078A0"/>
    <w:rsid w:val="0081111B"/>
    <w:rsid w:val="00817819"/>
    <w:rsid w:val="008236D4"/>
    <w:rsid w:val="008277F3"/>
    <w:rsid w:val="00837731"/>
    <w:rsid w:val="00844804"/>
    <w:rsid w:val="008463C7"/>
    <w:rsid w:val="00866D63"/>
    <w:rsid w:val="008725C6"/>
    <w:rsid w:val="008757CC"/>
    <w:rsid w:val="00877511"/>
    <w:rsid w:val="0088058F"/>
    <w:rsid w:val="008852B7"/>
    <w:rsid w:val="0089222D"/>
    <w:rsid w:val="00893865"/>
    <w:rsid w:val="00897B3F"/>
    <w:rsid w:val="008A44C2"/>
    <w:rsid w:val="008A4742"/>
    <w:rsid w:val="008A55A4"/>
    <w:rsid w:val="008A615A"/>
    <w:rsid w:val="008C0D49"/>
    <w:rsid w:val="008D13DD"/>
    <w:rsid w:val="008E00B6"/>
    <w:rsid w:val="008E4949"/>
    <w:rsid w:val="008F0893"/>
    <w:rsid w:val="008F12AB"/>
    <w:rsid w:val="008F1C1E"/>
    <w:rsid w:val="00905C38"/>
    <w:rsid w:val="00907DB9"/>
    <w:rsid w:val="0091334E"/>
    <w:rsid w:val="00913D2C"/>
    <w:rsid w:val="0092157C"/>
    <w:rsid w:val="00925212"/>
    <w:rsid w:val="0093551A"/>
    <w:rsid w:val="00936A21"/>
    <w:rsid w:val="009456EC"/>
    <w:rsid w:val="00946BDF"/>
    <w:rsid w:val="0094765C"/>
    <w:rsid w:val="00952CBA"/>
    <w:rsid w:val="0096384A"/>
    <w:rsid w:val="00964CC0"/>
    <w:rsid w:val="00965378"/>
    <w:rsid w:val="00983306"/>
    <w:rsid w:val="00993D89"/>
    <w:rsid w:val="009A34A2"/>
    <w:rsid w:val="009A5946"/>
    <w:rsid w:val="009B34FB"/>
    <w:rsid w:val="009C24D2"/>
    <w:rsid w:val="009D3DCF"/>
    <w:rsid w:val="009D6A52"/>
    <w:rsid w:val="009E0896"/>
    <w:rsid w:val="009E1589"/>
    <w:rsid w:val="009E24DD"/>
    <w:rsid w:val="00A03368"/>
    <w:rsid w:val="00A03782"/>
    <w:rsid w:val="00A03CBB"/>
    <w:rsid w:val="00A07608"/>
    <w:rsid w:val="00A11663"/>
    <w:rsid w:val="00A123DD"/>
    <w:rsid w:val="00A21395"/>
    <w:rsid w:val="00A21E32"/>
    <w:rsid w:val="00A22804"/>
    <w:rsid w:val="00A23653"/>
    <w:rsid w:val="00A31075"/>
    <w:rsid w:val="00A319BD"/>
    <w:rsid w:val="00A341C8"/>
    <w:rsid w:val="00A41532"/>
    <w:rsid w:val="00A5558D"/>
    <w:rsid w:val="00A55FBD"/>
    <w:rsid w:val="00A5640F"/>
    <w:rsid w:val="00A63875"/>
    <w:rsid w:val="00A720BB"/>
    <w:rsid w:val="00A74340"/>
    <w:rsid w:val="00A810EA"/>
    <w:rsid w:val="00A82CC2"/>
    <w:rsid w:val="00A8346C"/>
    <w:rsid w:val="00A91AAD"/>
    <w:rsid w:val="00AA5DEC"/>
    <w:rsid w:val="00AB0495"/>
    <w:rsid w:val="00AB6A6E"/>
    <w:rsid w:val="00AB787E"/>
    <w:rsid w:val="00AD18AB"/>
    <w:rsid w:val="00AD2202"/>
    <w:rsid w:val="00AD4B8D"/>
    <w:rsid w:val="00AD59F0"/>
    <w:rsid w:val="00AD78D5"/>
    <w:rsid w:val="00AF3465"/>
    <w:rsid w:val="00AF5261"/>
    <w:rsid w:val="00AF67F2"/>
    <w:rsid w:val="00B01AAB"/>
    <w:rsid w:val="00B02EC3"/>
    <w:rsid w:val="00B04F06"/>
    <w:rsid w:val="00B13565"/>
    <w:rsid w:val="00B24F9F"/>
    <w:rsid w:val="00B2723D"/>
    <w:rsid w:val="00B3621C"/>
    <w:rsid w:val="00B43302"/>
    <w:rsid w:val="00B5384F"/>
    <w:rsid w:val="00B5709C"/>
    <w:rsid w:val="00B630C8"/>
    <w:rsid w:val="00B67EB8"/>
    <w:rsid w:val="00B8094D"/>
    <w:rsid w:val="00B80958"/>
    <w:rsid w:val="00B80A38"/>
    <w:rsid w:val="00BA0548"/>
    <w:rsid w:val="00BB49B0"/>
    <w:rsid w:val="00BE0E5E"/>
    <w:rsid w:val="00BE19E9"/>
    <w:rsid w:val="00BE60B6"/>
    <w:rsid w:val="00BE67BB"/>
    <w:rsid w:val="00BF2150"/>
    <w:rsid w:val="00BF72DC"/>
    <w:rsid w:val="00C00949"/>
    <w:rsid w:val="00C0440A"/>
    <w:rsid w:val="00C10669"/>
    <w:rsid w:val="00C12FA4"/>
    <w:rsid w:val="00C263D2"/>
    <w:rsid w:val="00C27B15"/>
    <w:rsid w:val="00C31B68"/>
    <w:rsid w:val="00C41BC8"/>
    <w:rsid w:val="00C426DC"/>
    <w:rsid w:val="00C43511"/>
    <w:rsid w:val="00C46F48"/>
    <w:rsid w:val="00C51B30"/>
    <w:rsid w:val="00C51DE9"/>
    <w:rsid w:val="00C66011"/>
    <w:rsid w:val="00C71415"/>
    <w:rsid w:val="00C7505F"/>
    <w:rsid w:val="00C84724"/>
    <w:rsid w:val="00C85C44"/>
    <w:rsid w:val="00C906BE"/>
    <w:rsid w:val="00C9403D"/>
    <w:rsid w:val="00C95A70"/>
    <w:rsid w:val="00C96495"/>
    <w:rsid w:val="00C96A03"/>
    <w:rsid w:val="00CA0335"/>
    <w:rsid w:val="00CA3B71"/>
    <w:rsid w:val="00CA4C0D"/>
    <w:rsid w:val="00CA615B"/>
    <w:rsid w:val="00CB517C"/>
    <w:rsid w:val="00CC29E7"/>
    <w:rsid w:val="00CD68A2"/>
    <w:rsid w:val="00CE2722"/>
    <w:rsid w:val="00CE46C2"/>
    <w:rsid w:val="00CE721D"/>
    <w:rsid w:val="00CF2082"/>
    <w:rsid w:val="00D049F1"/>
    <w:rsid w:val="00D27043"/>
    <w:rsid w:val="00D2746D"/>
    <w:rsid w:val="00D30C1E"/>
    <w:rsid w:val="00D30D96"/>
    <w:rsid w:val="00D36A66"/>
    <w:rsid w:val="00D4296A"/>
    <w:rsid w:val="00D4568B"/>
    <w:rsid w:val="00D507D0"/>
    <w:rsid w:val="00D55B51"/>
    <w:rsid w:val="00D60A89"/>
    <w:rsid w:val="00D64A47"/>
    <w:rsid w:val="00D65597"/>
    <w:rsid w:val="00D71D2C"/>
    <w:rsid w:val="00D80171"/>
    <w:rsid w:val="00D84490"/>
    <w:rsid w:val="00D86977"/>
    <w:rsid w:val="00D932B1"/>
    <w:rsid w:val="00DA3E50"/>
    <w:rsid w:val="00DA3FE3"/>
    <w:rsid w:val="00DA558B"/>
    <w:rsid w:val="00DA5932"/>
    <w:rsid w:val="00DB29D2"/>
    <w:rsid w:val="00DB4A6C"/>
    <w:rsid w:val="00DB6280"/>
    <w:rsid w:val="00DC1FFE"/>
    <w:rsid w:val="00DC4202"/>
    <w:rsid w:val="00DC47FF"/>
    <w:rsid w:val="00DD0F7E"/>
    <w:rsid w:val="00DD1378"/>
    <w:rsid w:val="00DD172B"/>
    <w:rsid w:val="00DE1849"/>
    <w:rsid w:val="00DE3CC7"/>
    <w:rsid w:val="00DE4446"/>
    <w:rsid w:val="00DE5C48"/>
    <w:rsid w:val="00DF4A4B"/>
    <w:rsid w:val="00E057A8"/>
    <w:rsid w:val="00E16800"/>
    <w:rsid w:val="00E2423D"/>
    <w:rsid w:val="00E24AFA"/>
    <w:rsid w:val="00E26D23"/>
    <w:rsid w:val="00E30CC9"/>
    <w:rsid w:val="00E40B4D"/>
    <w:rsid w:val="00E40E5D"/>
    <w:rsid w:val="00E41C41"/>
    <w:rsid w:val="00E42D4F"/>
    <w:rsid w:val="00E479F6"/>
    <w:rsid w:val="00E51509"/>
    <w:rsid w:val="00E727D4"/>
    <w:rsid w:val="00E72B9B"/>
    <w:rsid w:val="00E74B03"/>
    <w:rsid w:val="00E77D2B"/>
    <w:rsid w:val="00E83ABB"/>
    <w:rsid w:val="00E85B9B"/>
    <w:rsid w:val="00E9419C"/>
    <w:rsid w:val="00E96D43"/>
    <w:rsid w:val="00EA4A94"/>
    <w:rsid w:val="00EA53AD"/>
    <w:rsid w:val="00EA546C"/>
    <w:rsid w:val="00EB45E7"/>
    <w:rsid w:val="00EB5A01"/>
    <w:rsid w:val="00EC0D5F"/>
    <w:rsid w:val="00EC308B"/>
    <w:rsid w:val="00EC492C"/>
    <w:rsid w:val="00ED1C63"/>
    <w:rsid w:val="00F00127"/>
    <w:rsid w:val="00F05311"/>
    <w:rsid w:val="00F15924"/>
    <w:rsid w:val="00F246B8"/>
    <w:rsid w:val="00F304B6"/>
    <w:rsid w:val="00F3333D"/>
    <w:rsid w:val="00F34C3B"/>
    <w:rsid w:val="00F34E85"/>
    <w:rsid w:val="00F368E0"/>
    <w:rsid w:val="00F37FF7"/>
    <w:rsid w:val="00F45AFF"/>
    <w:rsid w:val="00F5236D"/>
    <w:rsid w:val="00F567AD"/>
    <w:rsid w:val="00F616FC"/>
    <w:rsid w:val="00F6230C"/>
    <w:rsid w:val="00F76972"/>
    <w:rsid w:val="00F80EBD"/>
    <w:rsid w:val="00F86183"/>
    <w:rsid w:val="00F93D59"/>
    <w:rsid w:val="00F96CAF"/>
    <w:rsid w:val="00F97F0A"/>
    <w:rsid w:val="00FA1877"/>
    <w:rsid w:val="00FA2237"/>
    <w:rsid w:val="00FA5F28"/>
    <w:rsid w:val="00FB16BA"/>
    <w:rsid w:val="00FB3CF8"/>
    <w:rsid w:val="00FC2B30"/>
    <w:rsid w:val="00FE4B27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1793"/>
  <w15:docId w15:val="{D4FB6ECF-681D-4F53-B9E0-78076C1F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5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"/>
    <w:uiPriority w:val="99"/>
    <w:rsid w:val="000D4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0D47A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Rimando nota a piè di pagina1,Footnote symbol,footnote sign,Voetnootverwijzing,Rimando nota a piè di pagina-IMONT"/>
    <w:uiPriority w:val="99"/>
    <w:rsid w:val="000D47A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EA4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gaetano proto</dc:creator>
  <cp:lastModifiedBy>Zambelli Valerio</cp:lastModifiedBy>
  <cp:revision>2</cp:revision>
  <dcterms:created xsi:type="dcterms:W3CDTF">2024-05-09T14:47:00Z</dcterms:created>
  <dcterms:modified xsi:type="dcterms:W3CDTF">2024-05-09T14:47:00Z</dcterms:modified>
</cp:coreProperties>
</file>